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SECTION F: ISSUED TO BE ADDRESSED DURING SUPERVISED PRACTICE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30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00"/>
        <w:gridCol w:w="5175"/>
        <w:gridCol w:w="2430"/>
        <w:tblGridChange w:id="0">
          <w:tblGrid>
            <w:gridCol w:w="2700"/>
            <w:gridCol w:w="5175"/>
            <w:gridCol w:w="243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Issue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Measures to Address Issue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Review Date (approximate dates only) 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Applying for limited registration to work in Australia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Need to demonstrate core competency standard 1. Professionalism</w:t>
            </w:r>
          </w:p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(see examples below)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Need to demonstrate core competency standard 2. Knowledge and Learning</w:t>
            </w:r>
          </w:p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(see examples below)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Need to demonstrate core competency standard 3. Occupational therapy process and practice</w:t>
            </w:r>
          </w:p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(see examples below)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Need to demonstrate core competency standard 4. Communication</w:t>
            </w:r>
          </w:p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(see examples below)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Oq6hdwEeFlXWU6jI3Q0xPJdorUA==">CgMxLjA4AHIhMVFkNXpVRkNlUXMtR0NCOER1NHNiQzlzenV2MmYzZS16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