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29"/>
        </w:tabs>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rtl w:val="0"/>
        </w:rPr>
        <w:t xml:space="preserve">SECTION F: ISSUED TO BE ADDRESSED DURING SUPERVISED PRACTICE</w:t>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rtl w:val="0"/>
        </w:rPr>
        <w:t xml:space="preserve">Sample Response</w:t>
      </w:r>
    </w:p>
    <w:tbl>
      <w:tblPr>
        <w:tblStyle w:val="Table1"/>
        <w:tblW w:w="10395.0" w:type="dxa"/>
        <w:jc w:val="left"/>
        <w:tblInd w:w="-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5385"/>
        <w:gridCol w:w="2640"/>
        <w:tblGridChange w:id="0">
          <w:tblGrid>
            <w:gridCol w:w="2370"/>
            <w:gridCol w:w="5385"/>
            <w:gridCol w:w="2640"/>
          </w:tblGrid>
        </w:tblGridChange>
      </w:tblGrid>
      <w:tr>
        <w:trPr>
          <w:cantSplit w:val="0"/>
          <w:tblHeader w:val="0"/>
        </w:trPr>
        <w:tc>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Issue/</w:t>
            </w:r>
            <w:hyperlink r:id="rId7">
              <w:r w:rsidDel="00000000" w:rsidR="00000000" w:rsidRPr="00000000">
                <w:rPr>
                  <w:rFonts w:ascii="Arial" w:cs="Arial" w:eastAsia="Arial" w:hAnsi="Arial"/>
                  <w:color w:val="1155cc"/>
                  <w:u w:val="single"/>
                  <w:rtl w:val="0"/>
                </w:rPr>
                <w:t xml:space="preserve">Related Occupational Therapy Standard and Core Competency</w:t>
              </w:r>
            </w:hyperlink>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tc>
        <w:tc>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Measures to Address</w:t>
            </w:r>
          </w:p>
        </w:tc>
        <w:tc>
          <w:tcPr/>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Review date </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(approximate only) </w:t>
            </w:r>
          </w:p>
        </w:tc>
      </w:tr>
      <w:tr>
        <w:trPr>
          <w:cantSplit w:val="0"/>
          <w:tblHeader w:val="0"/>
        </w:trPr>
        <w:tc>
          <w:tcPr>
            <w:gridSpan w:val="3"/>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1.Professionalism</w:t>
            </w:r>
          </w:p>
        </w:tc>
      </w:tr>
      <w:tr>
        <w:trPr>
          <w:cantSplit w:val="0"/>
          <w:tblHeader w:val="0"/>
        </w:trPr>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After reading all the pertinent documentation, the supervisee complies with the standards, guidelines, Code of Conduct, and laws of the Occupational Therapy Board of Australia by discussing this with the supervisor on how these ideas apply in the real world. </w:t>
            </w:r>
          </w:p>
        </w:tc>
        <w:tc>
          <w:tcPr/>
          <w:p w:rsidR="00000000" w:rsidDel="00000000" w:rsidP="00000000" w:rsidRDefault="00000000" w:rsidRPr="00000000" w14:paraId="0000000E">
            <w:pPr>
              <w:rPr>
                <w:rFonts w:ascii="Arial" w:cs="Arial" w:eastAsia="Arial" w:hAnsi="Arial"/>
              </w:rPr>
            </w:pPr>
            <w:bookmarkStart w:colFirst="0" w:colLast="0" w:name="_heading=h.gjdgxs" w:id="0"/>
            <w:bookmarkEnd w:id="0"/>
            <w:r w:rsidDel="00000000" w:rsidR="00000000" w:rsidRPr="00000000">
              <w:rPr>
                <w:rtl w:val="0"/>
              </w:rPr>
            </w:r>
          </w:p>
        </w:tc>
      </w:tr>
      <w:tr>
        <w:trPr>
          <w:cantSplit w:val="0"/>
          <w:tblHeader w:val="0"/>
        </w:trPr>
        <w:tc>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1.5 </w:t>
            </w:r>
          </w:p>
        </w:tc>
        <w:tc>
          <w:tcPr/>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When dealing with client groups that are culturally diverse, the supervisee practices in a way that is both safe and sensitive to cultural differences. The supervisee discusses the specific cultural practices that they will implement in their own practice when working with this population to the supervisor.</w:t>
            </w:r>
          </w:p>
        </w:tc>
        <w:tc>
          <w:tcPr/>
          <w:p w:rsidR="00000000" w:rsidDel="00000000" w:rsidP="00000000" w:rsidRDefault="00000000" w:rsidRPr="00000000" w14:paraId="0000001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1.6</w:t>
            </w:r>
          </w:p>
        </w:tc>
        <w:tc>
          <w:tcPr/>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1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1.9</w:t>
            </w:r>
          </w:p>
        </w:tc>
        <w:tc>
          <w:tcPr/>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1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1.11</w:t>
            </w:r>
          </w:p>
        </w:tc>
        <w:tc>
          <w:tcPr/>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With the assistance of the supervisor, the supervisee upholds their professional competence and adjusts to changing practice contexts.</w:t>
            </w:r>
          </w:p>
        </w:tc>
        <w:tc>
          <w:tcPr/>
          <w:p w:rsidR="00000000" w:rsidDel="00000000" w:rsidP="00000000" w:rsidRDefault="00000000" w:rsidRPr="00000000" w14:paraId="00000020">
            <w:pPr>
              <w:rPr>
                <w:rFonts w:ascii="Arial" w:cs="Arial" w:eastAsia="Arial" w:hAnsi="Arial"/>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2.Knowledge and Learning</w:t>
            </w:r>
          </w:p>
        </w:tc>
      </w:tr>
      <w:tr>
        <w:trPr>
          <w:cantSplit w:val="0"/>
          <w:tblHeader w:val="0"/>
        </w:trPr>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2.2 </w:t>
            </w:r>
          </w:p>
        </w:tc>
        <w:tc>
          <w:tcPr/>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When making decisions and applying theory to professional practice, the supervisee makes use of OT frameworks. The supervisee’s application of evidence-based practice, clinical reasoning abilities, and comprehension of the OT framework will all be discussed and reflected upon by the supervisor. </w:t>
            </w:r>
          </w:p>
        </w:tc>
        <w:tc>
          <w:tcPr/>
          <w:p w:rsidR="00000000" w:rsidDel="00000000" w:rsidP="00000000" w:rsidRDefault="00000000" w:rsidRPr="00000000" w14:paraId="0000002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2.4</w:t>
            </w:r>
          </w:p>
        </w:tc>
        <w:tc>
          <w:tcPr/>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tl w:val="0"/>
              </w:rPr>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2.6</w:t>
            </w:r>
          </w:p>
        </w:tc>
        <w:tc>
          <w:tcPr/>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By adhering to the requirements for continuing professional development, trainings, and seminars, the supervisee improves the currency of knowledge, skills, and new evidence for practice</w:t>
            </w:r>
          </w:p>
        </w:tc>
        <w:tc>
          <w:tcPr/>
          <w:p w:rsidR="00000000" w:rsidDel="00000000" w:rsidP="00000000" w:rsidRDefault="00000000" w:rsidRPr="00000000" w14:paraId="0000002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2.7</w:t>
            </w:r>
          </w:p>
        </w:tc>
        <w:tc>
          <w:tcPr/>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When transferring to a new area of occupational therapy practice, the supervisee follows a particular learning and development plan under the supervision and guidance of the supervisor</w:t>
            </w:r>
          </w:p>
        </w:tc>
        <w:tc>
          <w:tcPr/>
          <w:p w:rsidR="00000000" w:rsidDel="00000000" w:rsidP="00000000" w:rsidRDefault="00000000" w:rsidRPr="00000000" w14:paraId="00000032">
            <w:pPr>
              <w:rPr>
                <w:rFonts w:ascii="Arial" w:cs="Arial" w:eastAsia="Arial" w:hAnsi="Arial"/>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3.Occupational Therapy and Practice</w:t>
            </w:r>
          </w:p>
        </w:tc>
      </w:tr>
      <w:tr>
        <w:trPr>
          <w:cantSplit w:val="0"/>
          <w:tblHeader w:val="0"/>
        </w:trPr>
        <w:tc>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3.1</w:t>
            </w:r>
          </w:p>
        </w:tc>
        <w:tc>
          <w:tcPr/>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This procedure was observe by the supervisor, and the supervisee clarifies and tackles the clients’ participation and occupational performance, recognizing the factors that facilitate and hinder engagement</w:t>
            </w:r>
          </w:p>
        </w:tc>
        <w:tc>
          <w:tcPr/>
          <w:p w:rsidR="00000000" w:rsidDel="00000000" w:rsidP="00000000" w:rsidRDefault="00000000" w:rsidRPr="00000000" w14:paraId="0000003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3.2</w:t>
            </w:r>
          </w:p>
        </w:tc>
        <w:tc>
          <w:tcPr/>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3.6</w:t>
            </w:r>
          </w:p>
        </w:tc>
        <w:tc>
          <w:tcPr/>
          <w:p w:rsidR="00000000" w:rsidDel="00000000" w:rsidP="00000000" w:rsidRDefault="00000000" w:rsidRPr="00000000" w14:paraId="00000040">
            <w:pPr>
              <w:jc w:val="both"/>
              <w:rPr>
                <w:rFonts w:ascii="Arial" w:cs="Arial" w:eastAsia="Arial" w:hAnsi="Arial"/>
              </w:rPr>
            </w:pP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44">
            <w:pPr>
              <w:rPr>
                <w:rFonts w:ascii="Arial" w:cs="Arial" w:eastAsia="Arial" w:hAnsi="Arial"/>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5">
            <w:pPr>
              <w:rPr>
                <w:rFonts w:ascii="Arial" w:cs="Arial" w:eastAsia="Arial" w:hAnsi="Arial"/>
                <w:b w:val="1"/>
              </w:rPr>
            </w:pPr>
            <w:r w:rsidDel="00000000" w:rsidR="00000000" w:rsidRPr="00000000">
              <w:rPr>
                <w:rFonts w:ascii="Arial" w:cs="Arial" w:eastAsia="Arial" w:hAnsi="Arial"/>
                <w:b w:val="1"/>
                <w:rtl w:val="0"/>
              </w:rPr>
              <w:t xml:space="preserve">4.Communication</w:t>
            </w:r>
          </w:p>
        </w:tc>
      </w:tr>
      <w:tr>
        <w:trPr>
          <w:cantSplit w:val="0"/>
          <w:tblHeader w:val="0"/>
        </w:trPr>
        <w:tc>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4.3</w:t>
            </w:r>
          </w:p>
        </w:tc>
        <w:tc>
          <w:tcPr/>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The supervisor will ensure that the supervisee comprehends and applies pertinent cultural protocols and communication strategies to support community self-governance. The supervisee engages in ethical work with Aboriginal and Torres Strait Islander communities and organizations</w:t>
            </w:r>
          </w:p>
        </w:tc>
        <w:tc>
          <w:tcPr/>
          <w:p w:rsidR="00000000" w:rsidDel="00000000" w:rsidP="00000000" w:rsidRDefault="00000000" w:rsidRPr="00000000" w14:paraId="0000004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4.2, 4.5, 4.6</w:t>
            </w:r>
          </w:p>
        </w:tc>
        <w:tc>
          <w:tcPr/>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rFonts w:ascii="Arial" w:cs="Arial" w:eastAsia="Arial" w:hAnsi="Arial"/>
              </w:rPr>
            </w:pPr>
            <w:r w:rsidDel="00000000" w:rsidR="00000000" w:rsidRPr="00000000">
              <w:rPr>
                <w:rtl w:val="0"/>
              </w:rPr>
            </w:r>
          </w:p>
          <w:p w:rsidR="00000000" w:rsidDel="00000000" w:rsidP="00000000" w:rsidRDefault="00000000" w:rsidRPr="00000000" w14:paraId="0000004F">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5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4.10</w:t>
            </w:r>
          </w:p>
        </w:tc>
        <w:tc>
          <w:tcPr/>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The supervisee asks for and acts upon feedback from the supervisor, making appropriate adjustments to communication and </w:t>
            </w:r>
          </w:p>
        </w:tc>
        <w:tc>
          <w:tcPr/>
          <w:p w:rsidR="00000000" w:rsidDel="00000000" w:rsidP="00000000" w:rsidRDefault="00000000" w:rsidRPr="00000000" w14:paraId="00000053">
            <w:pPr>
              <w:rPr>
                <w:rFonts w:ascii="Arial" w:cs="Arial" w:eastAsia="Arial" w:hAnsi="Arial"/>
              </w:rPr>
            </w:pPr>
            <w:r w:rsidDel="00000000" w:rsidR="00000000" w:rsidRPr="00000000">
              <w:rPr>
                <w:rtl w:val="0"/>
              </w:rPr>
            </w:r>
          </w:p>
        </w:tc>
      </w:tr>
    </w:tbl>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83F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83FB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ccupationaltherapyboard.gov.au/codes-guidelines/competen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TWZyDxJBSJh7buWwR55Aiasww==">CgMxLjAyCGguZ2pkZ3hzOAByITFza1MwTmpPdGJQS1hOcGNiV2dULUJfaGtfMlNETzhjbA==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2024-03-08T06:35:00Z</dcterms:created>
  <dc:creator>Acer</dc:creator>
</cp:coreProperties>
</file>